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DCB" w:rsidRPr="00123460" w:rsidRDefault="00C74DCB" w:rsidP="00C74DCB">
      <w:pPr>
        <w:ind w:left="5103" w:firstLine="567"/>
        <w:rPr>
          <w:sz w:val="28"/>
          <w:szCs w:val="28"/>
          <w:lang w:eastAsia="uk-UA"/>
        </w:rPr>
      </w:pPr>
      <w:r w:rsidRPr="00123460">
        <w:rPr>
          <w:sz w:val="28"/>
          <w:szCs w:val="28"/>
          <w:lang w:eastAsia="uk-UA"/>
        </w:rPr>
        <w:t xml:space="preserve">Додаток до листа </w:t>
      </w:r>
    </w:p>
    <w:p w:rsidR="00C74DCB" w:rsidRPr="00123460" w:rsidRDefault="00C74DCB" w:rsidP="00C74DCB">
      <w:pPr>
        <w:ind w:left="5103" w:firstLine="567"/>
        <w:rPr>
          <w:sz w:val="28"/>
          <w:szCs w:val="28"/>
          <w:lang w:eastAsia="uk-UA"/>
        </w:rPr>
      </w:pPr>
      <w:r w:rsidRPr="00123460">
        <w:rPr>
          <w:sz w:val="28"/>
          <w:szCs w:val="28"/>
          <w:lang w:eastAsia="uk-UA"/>
        </w:rPr>
        <w:t xml:space="preserve">головного управління </w:t>
      </w:r>
    </w:p>
    <w:p w:rsidR="00C74DCB" w:rsidRPr="00123460" w:rsidRDefault="00C74DCB" w:rsidP="00C74DCB">
      <w:pPr>
        <w:ind w:left="5103" w:firstLine="567"/>
        <w:rPr>
          <w:sz w:val="28"/>
          <w:szCs w:val="28"/>
          <w:lang w:eastAsia="uk-UA"/>
        </w:rPr>
      </w:pPr>
      <w:r w:rsidRPr="00123460">
        <w:rPr>
          <w:sz w:val="28"/>
          <w:szCs w:val="28"/>
          <w:lang w:eastAsia="uk-UA"/>
        </w:rPr>
        <w:t xml:space="preserve">Пенсійного фонду України </w:t>
      </w:r>
    </w:p>
    <w:p w:rsidR="00C74DCB" w:rsidRPr="00123460" w:rsidRDefault="00C74DCB" w:rsidP="00C74DCB">
      <w:pPr>
        <w:ind w:left="5103" w:firstLine="567"/>
        <w:rPr>
          <w:sz w:val="28"/>
          <w:szCs w:val="28"/>
          <w:lang w:eastAsia="uk-UA"/>
        </w:rPr>
      </w:pPr>
      <w:r w:rsidRPr="00123460">
        <w:rPr>
          <w:sz w:val="28"/>
          <w:szCs w:val="28"/>
          <w:lang w:eastAsia="uk-UA"/>
        </w:rPr>
        <w:t xml:space="preserve">в Кіровоградській області </w:t>
      </w:r>
    </w:p>
    <w:p w:rsidR="00513C1F" w:rsidRPr="00123460" w:rsidRDefault="00C74DCB" w:rsidP="0099088E">
      <w:pPr>
        <w:ind w:left="5103" w:firstLine="567"/>
        <w:rPr>
          <w:sz w:val="28"/>
          <w:szCs w:val="28"/>
          <w:lang w:eastAsia="uk-UA"/>
        </w:rPr>
      </w:pPr>
      <w:r w:rsidRPr="00123460">
        <w:rPr>
          <w:sz w:val="28"/>
          <w:szCs w:val="28"/>
          <w:lang w:eastAsia="uk-UA"/>
        </w:rPr>
        <w:t>__________ № __________</w:t>
      </w:r>
    </w:p>
    <w:p w:rsidR="004B74E8" w:rsidRPr="00123460" w:rsidRDefault="004B74E8" w:rsidP="004B74E8">
      <w:pPr>
        <w:pStyle w:val="a5"/>
        <w:jc w:val="both"/>
        <w:rPr>
          <w:color w:val="000000" w:themeColor="text1"/>
          <w:szCs w:val="28"/>
        </w:rPr>
      </w:pPr>
    </w:p>
    <w:p w:rsidR="004F3372" w:rsidRPr="004F3372" w:rsidRDefault="004F3372" w:rsidP="004F3372">
      <w:pPr>
        <w:tabs>
          <w:tab w:val="left" w:pos="5245"/>
        </w:tabs>
        <w:ind w:firstLine="567"/>
        <w:jc w:val="center"/>
        <w:rPr>
          <w:b/>
          <w:sz w:val="28"/>
          <w:szCs w:val="28"/>
        </w:rPr>
      </w:pPr>
      <w:r w:rsidRPr="004F3372">
        <w:rPr>
          <w:b/>
          <w:sz w:val="28"/>
          <w:szCs w:val="28"/>
        </w:rPr>
        <w:t>Про перерахунок пенсій з 1 жовтня 2021 року</w:t>
      </w:r>
    </w:p>
    <w:p w:rsidR="004F3372" w:rsidRPr="00D60571" w:rsidRDefault="004F3372" w:rsidP="004F3372">
      <w:pPr>
        <w:pStyle w:val="a7"/>
        <w:spacing w:after="0"/>
        <w:ind w:firstLine="540"/>
        <w:jc w:val="center"/>
        <w:rPr>
          <w:b/>
          <w:sz w:val="26"/>
          <w:szCs w:val="26"/>
        </w:rPr>
      </w:pPr>
    </w:p>
    <w:p w:rsidR="004F3372" w:rsidRDefault="004F3372" w:rsidP="004F3372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 метою підвищення соціального захисту найбільш вразливих верств населення, з 1 жовтня 2021 року відповідно до постанови КМУ від 16 вересня 2020 року № 849 </w:t>
      </w:r>
      <w:r w:rsidRPr="00C07AE2">
        <w:rPr>
          <w:sz w:val="26"/>
          <w:szCs w:val="26"/>
        </w:rPr>
        <w:t>“</w:t>
      </w:r>
      <w:r>
        <w:rPr>
          <w:sz w:val="26"/>
          <w:szCs w:val="26"/>
        </w:rPr>
        <w:t>Деякі питання підвищення пенсійних виплат для окремих категорій осіб у 2021 році та в подальшому” встановлено щомісячну компенсаційн</w:t>
      </w:r>
      <w:bookmarkStart w:id="0" w:name="_GoBack"/>
      <w:bookmarkEnd w:id="0"/>
      <w:r>
        <w:rPr>
          <w:sz w:val="26"/>
          <w:szCs w:val="26"/>
        </w:rPr>
        <w:t>у виплату в розмірі до 400 грн.</w:t>
      </w:r>
    </w:p>
    <w:p w:rsidR="004F3372" w:rsidRPr="00185C27" w:rsidRDefault="004F3372" w:rsidP="004F3372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Дане підвищення стосується</w:t>
      </w:r>
      <w:r w:rsidRPr="00185C27">
        <w:rPr>
          <w:sz w:val="26"/>
          <w:szCs w:val="26"/>
        </w:rPr>
        <w:t xml:space="preserve"> осіб, яким виповнилось 75 років до досягнення </w:t>
      </w:r>
      <w:r>
        <w:rPr>
          <w:sz w:val="26"/>
          <w:szCs w:val="26"/>
        </w:rPr>
        <w:t xml:space="preserve">ними </w:t>
      </w:r>
      <w:r w:rsidRPr="00185C27">
        <w:rPr>
          <w:sz w:val="26"/>
          <w:szCs w:val="26"/>
        </w:rPr>
        <w:t>80</w:t>
      </w:r>
      <w:r>
        <w:rPr>
          <w:sz w:val="26"/>
          <w:szCs w:val="26"/>
        </w:rPr>
        <w:t>-</w:t>
      </w:r>
      <w:r w:rsidRPr="00185C27">
        <w:rPr>
          <w:sz w:val="26"/>
          <w:szCs w:val="26"/>
        </w:rPr>
        <w:t>річного віку</w:t>
      </w:r>
      <w:r>
        <w:rPr>
          <w:sz w:val="26"/>
          <w:szCs w:val="26"/>
        </w:rPr>
        <w:t xml:space="preserve"> та</w:t>
      </w:r>
      <w:r w:rsidRPr="00185C27">
        <w:rPr>
          <w:sz w:val="26"/>
          <w:szCs w:val="26"/>
        </w:rPr>
        <w:t xml:space="preserve"> у яких щомісячний розмір пенсійних виплат з </w:t>
      </w:r>
      <w:r w:rsidRPr="00185C27">
        <w:rPr>
          <w:rStyle w:val="fontstyle01"/>
          <w:sz w:val="26"/>
          <w:szCs w:val="26"/>
        </w:rPr>
        <w:t xml:space="preserve">урахуванням </w:t>
      </w:r>
      <w:r w:rsidRPr="00185C27">
        <w:rPr>
          <w:sz w:val="26"/>
          <w:szCs w:val="26"/>
        </w:rPr>
        <w:t>надбавок, підвищень, додаткових пенсій, цільової грошової допомоги, сум індексації, щомісячної компенсації у разі втрати годувальника внаслідок Чорнобильської катастрофи, інших доплат до пенс</w:t>
      </w:r>
      <w:r>
        <w:rPr>
          <w:sz w:val="26"/>
          <w:szCs w:val="26"/>
        </w:rPr>
        <w:t>ій, встановлених законодавством</w:t>
      </w:r>
      <w:r w:rsidRPr="00185C27">
        <w:rPr>
          <w:sz w:val="26"/>
          <w:szCs w:val="26"/>
        </w:rPr>
        <w:t xml:space="preserve"> не перевищує розміру середньої заробітної плати (доходу) в Україні, з якої сплачено страхові внески та яка враховується для обчислен</w:t>
      </w:r>
      <w:r>
        <w:rPr>
          <w:sz w:val="26"/>
          <w:szCs w:val="26"/>
        </w:rPr>
        <w:t>ня пенсії за 2020 рік (</w:t>
      </w:r>
      <w:r w:rsidRPr="00185C27">
        <w:rPr>
          <w:sz w:val="26"/>
          <w:szCs w:val="26"/>
        </w:rPr>
        <w:t>10340,35 грн.). При цьому вид пенсії, умови призначення, закон, згідно якого призначено пенсію, факт роботи пенсіонера значення не мають.</w:t>
      </w:r>
    </w:p>
    <w:p w:rsidR="004F3372" w:rsidRDefault="004F3372" w:rsidP="004F3372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 разі коли після встановлення компенсаційної виплати розмір пенсійних виплат з урахуванням надбавок, підвищень, додаткових пенсій, цільової грошової допомоги, сум індексації, щомісячної компенсації у разі втрати годувальника внаслідок Чорнобильської катастрофи, інших доплат до пенсій, встановлених законодавством (крім пенсій за особливі заслуги перед Україною), в осіб, які отримують пенсію, відповідно до Закону України </w:t>
      </w:r>
      <w:r w:rsidRPr="00972A1A">
        <w:rPr>
          <w:sz w:val="26"/>
          <w:szCs w:val="26"/>
        </w:rPr>
        <w:t xml:space="preserve">“Про загальнообов'язкове державне пенсійне страхування” </w:t>
      </w:r>
      <w:r>
        <w:rPr>
          <w:sz w:val="26"/>
          <w:szCs w:val="26"/>
        </w:rPr>
        <w:t xml:space="preserve">за наявності страхового стажу у чоловіків не менше 25, а у жінок не менше 20 років, не досягає 2500 грн, таким особам надається доплата до пенсії в сумі, що не вистачає до зазначеного розміру, яка перераховується під час подальших перерахунків. </w:t>
      </w:r>
    </w:p>
    <w:p w:rsidR="004F3372" w:rsidRDefault="004F3372" w:rsidP="004F3372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Головним</w:t>
      </w:r>
      <w:r w:rsidRPr="00D60571">
        <w:rPr>
          <w:sz w:val="26"/>
          <w:szCs w:val="26"/>
        </w:rPr>
        <w:t xml:space="preserve"> управління</w:t>
      </w:r>
      <w:r>
        <w:rPr>
          <w:sz w:val="26"/>
          <w:szCs w:val="26"/>
        </w:rPr>
        <w:t>м</w:t>
      </w:r>
      <w:r w:rsidRPr="00D60571">
        <w:rPr>
          <w:sz w:val="26"/>
          <w:szCs w:val="26"/>
        </w:rPr>
        <w:t xml:space="preserve"> Пенсійного фонду України в Кіровоградській області </w:t>
      </w:r>
      <w:r>
        <w:rPr>
          <w:sz w:val="26"/>
          <w:szCs w:val="26"/>
        </w:rPr>
        <w:t>проведено перерахунок 24328 пенсіонерам. Виплата пенсій в нових розмірах буде проведена у жовтні 2021 року.</w:t>
      </w:r>
    </w:p>
    <w:p w:rsidR="003F3944" w:rsidRDefault="003F3944" w:rsidP="003F394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F3944" w:rsidRPr="00837D55" w:rsidRDefault="003F3944" w:rsidP="003F394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3F3944" w:rsidRDefault="004F3372" w:rsidP="003F3944">
      <w:pPr>
        <w:widowControl w:val="0"/>
        <w:autoSpaceDE w:val="0"/>
        <w:autoSpaceDN w:val="0"/>
        <w:adjustRightInd w:val="0"/>
        <w:jc w:val="both"/>
      </w:pPr>
      <w:r>
        <w:rPr>
          <w:b/>
          <w:sz w:val="28"/>
          <w:szCs w:val="28"/>
        </w:rPr>
        <w:t>Олена РОМАНЧЕНКО</w:t>
      </w:r>
      <w:r w:rsidR="003F3944" w:rsidRPr="00837D5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заступник начальника </w:t>
      </w:r>
      <w:r w:rsidR="003F3944" w:rsidRPr="00837D55">
        <w:rPr>
          <w:b/>
          <w:sz w:val="28"/>
          <w:szCs w:val="28"/>
        </w:rPr>
        <w:t>головного управління Пенсійного фонду України в Кіровоградській області</w:t>
      </w:r>
    </w:p>
    <w:sectPr w:rsidR="003F3944" w:rsidSect="00E32419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03ABB"/>
    <w:multiLevelType w:val="hybridMultilevel"/>
    <w:tmpl w:val="541074A2"/>
    <w:lvl w:ilvl="0" w:tplc="2BE8BC7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57"/>
    <w:rsid w:val="000131CB"/>
    <w:rsid w:val="0003762C"/>
    <w:rsid w:val="000467E3"/>
    <w:rsid w:val="00077CEF"/>
    <w:rsid w:val="000B5D60"/>
    <w:rsid w:val="000F77E5"/>
    <w:rsid w:val="00123460"/>
    <w:rsid w:val="00154D44"/>
    <w:rsid w:val="00172FB6"/>
    <w:rsid w:val="00184E44"/>
    <w:rsid w:val="00196DDC"/>
    <w:rsid w:val="0020707E"/>
    <w:rsid w:val="002201F8"/>
    <w:rsid w:val="00225111"/>
    <w:rsid w:val="00247471"/>
    <w:rsid w:val="00282408"/>
    <w:rsid w:val="002A0B26"/>
    <w:rsid w:val="00325CF2"/>
    <w:rsid w:val="00361263"/>
    <w:rsid w:val="003818A3"/>
    <w:rsid w:val="003F3944"/>
    <w:rsid w:val="0047713B"/>
    <w:rsid w:val="0048200E"/>
    <w:rsid w:val="004B7332"/>
    <w:rsid w:val="004B74E8"/>
    <w:rsid w:val="004E76D1"/>
    <w:rsid w:val="004F3372"/>
    <w:rsid w:val="00513C1F"/>
    <w:rsid w:val="00531C49"/>
    <w:rsid w:val="00541DD6"/>
    <w:rsid w:val="005971C5"/>
    <w:rsid w:val="005A0631"/>
    <w:rsid w:val="005C0966"/>
    <w:rsid w:val="005E207E"/>
    <w:rsid w:val="005E36BC"/>
    <w:rsid w:val="00626757"/>
    <w:rsid w:val="0068205B"/>
    <w:rsid w:val="006F13DE"/>
    <w:rsid w:val="006F60F8"/>
    <w:rsid w:val="00725B2D"/>
    <w:rsid w:val="00745CE7"/>
    <w:rsid w:val="007C1F22"/>
    <w:rsid w:val="007C52F8"/>
    <w:rsid w:val="007D6EC4"/>
    <w:rsid w:val="007F0A1D"/>
    <w:rsid w:val="00825200"/>
    <w:rsid w:val="00902E19"/>
    <w:rsid w:val="00922AA4"/>
    <w:rsid w:val="009806E3"/>
    <w:rsid w:val="0099088E"/>
    <w:rsid w:val="00993A53"/>
    <w:rsid w:val="009B3B32"/>
    <w:rsid w:val="00A20857"/>
    <w:rsid w:val="00AC12D6"/>
    <w:rsid w:val="00AC45D2"/>
    <w:rsid w:val="00AD7BF5"/>
    <w:rsid w:val="00AE3018"/>
    <w:rsid w:val="00B12A7D"/>
    <w:rsid w:val="00B451A2"/>
    <w:rsid w:val="00B50D74"/>
    <w:rsid w:val="00B56D00"/>
    <w:rsid w:val="00B84C42"/>
    <w:rsid w:val="00BA6D68"/>
    <w:rsid w:val="00BF4946"/>
    <w:rsid w:val="00C419A8"/>
    <w:rsid w:val="00C462B4"/>
    <w:rsid w:val="00C74C6B"/>
    <w:rsid w:val="00C74DCB"/>
    <w:rsid w:val="00C862A3"/>
    <w:rsid w:val="00C97135"/>
    <w:rsid w:val="00CF51EF"/>
    <w:rsid w:val="00D21991"/>
    <w:rsid w:val="00D25D69"/>
    <w:rsid w:val="00D57B34"/>
    <w:rsid w:val="00DA6B61"/>
    <w:rsid w:val="00DD245E"/>
    <w:rsid w:val="00E32419"/>
    <w:rsid w:val="00EB2C63"/>
    <w:rsid w:val="00EC069A"/>
    <w:rsid w:val="00F71CC8"/>
    <w:rsid w:val="00F74C3C"/>
    <w:rsid w:val="00F75F31"/>
    <w:rsid w:val="00FD3049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EE8C0-1FD9-4F2B-AFD8-62C96F50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4DCB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74D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74D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Normal (Web)"/>
    <w:basedOn w:val="a"/>
    <w:uiPriority w:val="99"/>
    <w:rsid w:val="00531C49"/>
    <w:pPr>
      <w:spacing w:before="100" w:beforeAutospacing="1" w:after="100" w:afterAutospacing="1"/>
    </w:pPr>
    <w:rPr>
      <w:lang w:val="ru-RU"/>
    </w:rPr>
  </w:style>
  <w:style w:type="character" w:customStyle="1" w:styleId="t-form-inputcontainer">
    <w:name w:val="t-form-inputcontainer"/>
    <w:rsid w:val="00531C49"/>
  </w:style>
  <w:style w:type="character" w:customStyle="1" w:styleId="3">
    <w:name w:val="Основний текст (3)_"/>
    <w:link w:val="30"/>
    <w:locked/>
    <w:rsid w:val="00E32419"/>
    <w:rPr>
      <w:b/>
      <w:b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rsid w:val="00E32419"/>
    <w:pPr>
      <w:widowControl w:val="0"/>
      <w:shd w:val="clear" w:color="auto" w:fill="FFFFFF"/>
      <w:spacing w:line="313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rsid w:val="00B451A2"/>
    <w:pPr>
      <w:spacing w:after="120"/>
    </w:pPr>
  </w:style>
  <w:style w:type="character" w:customStyle="1" w:styleId="a8">
    <w:name w:val="Основной текст Знак"/>
    <w:basedOn w:val="a0"/>
    <w:link w:val="a7"/>
    <w:rsid w:val="00B45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semiHidden/>
    <w:unhideWhenUsed/>
    <w:rsid w:val="00BF4946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13C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3C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247471"/>
    <w:rPr>
      <w:rFonts w:ascii="Verdana" w:hAnsi="Verdana" w:cs="Verdana"/>
      <w:sz w:val="20"/>
      <w:szCs w:val="20"/>
      <w:lang w:val="en-US" w:eastAsia="en-US"/>
    </w:rPr>
  </w:style>
  <w:style w:type="character" w:styleId="ad">
    <w:name w:val="Strong"/>
    <w:basedOn w:val="a0"/>
    <w:uiPriority w:val="22"/>
    <w:qFormat/>
    <w:rsid w:val="00922AA4"/>
    <w:rPr>
      <w:b/>
      <w:bCs/>
    </w:rPr>
  </w:style>
  <w:style w:type="paragraph" w:styleId="2">
    <w:name w:val="Body Text 2"/>
    <w:basedOn w:val="a"/>
    <w:link w:val="20"/>
    <w:rsid w:val="004E76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76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131CB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">
    <w:name w:val="Без интервала1"/>
    <w:rsid w:val="003F3944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Common2</dc:creator>
  <cp:keywords/>
  <dc:description/>
  <cp:lastModifiedBy>orgvid2</cp:lastModifiedBy>
  <cp:revision>30</cp:revision>
  <dcterms:created xsi:type="dcterms:W3CDTF">2021-03-02T09:49:00Z</dcterms:created>
  <dcterms:modified xsi:type="dcterms:W3CDTF">2021-09-28T07:25:00Z</dcterms:modified>
</cp:coreProperties>
</file>